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87" w:rsidRPr="00674318" w:rsidRDefault="007F3387" w:rsidP="007F3387">
      <w:pPr>
        <w:jc w:val="center"/>
        <w:rPr>
          <w:rFonts w:ascii="MyriadPro-Regular" w:hAnsi="MyriadPro-Regular" w:cs="MyriadPro-Regular"/>
          <w:b/>
          <w:sz w:val="28"/>
          <w:szCs w:val="28"/>
        </w:rPr>
      </w:pPr>
      <w:r w:rsidRPr="00674318">
        <w:rPr>
          <w:rFonts w:cs="MyriadPro-Regular"/>
          <w:b/>
          <w:sz w:val="28"/>
          <w:szCs w:val="28"/>
        </w:rPr>
        <w:t>Α</w:t>
      </w:r>
      <w:r w:rsidRPr="00674318">
        <w:rPr>
          <w:rFonts w:ascii="MyriadPro-Regular" w:hAnsi="MyriadPro-Regular" w:cs="MyriadPro-Regular"/>
          <w:b/>
          <w:sz w:val="28"/>
          <w:szCs w:val="28"/>
        </w:rPr>
        <w:t xml:space="preserve">τομικός </w:t>
      </w:r>
      <w:r w:rsidRPr="00674318">
        <w:rPr>
          <w:rFonts w:cs="MyriadPro-Regular"/>
          <w:b/>
          <w:sz w:val="28"/>
          <w:szCs w:val="28"/>
        </w:rPr>
        <w:t>Φ</w:t>
      </w:r>
      <w:r w:rsidRPr="00674318">
        <w:rPr>
          <w:rFonts w:ascii="MyriadPro-Regular" w:hAnsi="MyriadPro-Regular" w:cs="MyriadPro-Regular"/>
          <w:b/>
          <w:sz w:val="28"/>
          <w:szCs w:val="28"/>
        </w:rPr>
        <w:t>άκελος</w:t>
      </w:r>
    </w:p>
    <w:p w:rsidR="00E802A5" w:rsidRDefault="007F3387" w:rsidP="007F3387">
      <w:pPr>
        <w:jc w:val="center"/>
        <w:rPr>
          <w:rFonts w:ascii="MyriadPro-Regular" w:hAnsi="MyriadPro-Regular" w:cs="MyriadPro-Regular"/>
          <w:sz w:val="28"/>
          <w:szCs w:val="28"/>
        </w:rPr>
      </w:pPr>
      <w:r w:rsidRPr="007F3387">
        <w:rPr>
          <w:rFonts w:ascii="MyriadPro-Regular" w:hAnsi="MyriadPro-Regular" w:cs="MyriadPro-Regular"/>
          <w:sz w:val="28"/>
          <w:szCs w:val="28"/>
        </w:rPr>
        <w:t>Μαθητή, -</w:t>
      </w:r>
      <w:proofErr w:type="spellStart"/>
      <w:r w:rsidRPr="007F3387">
        <w:rPr>
          <w:rFonts w:ascii="MyriadPro-Regular" w:hAnsi="MyriadPro-Regular" w:cs="MyriadPro-Regular"/>
          <w:sz w:val="28"/>
          <w:szCs w:val="28"/>
        </w:rPr>
        <w:t>τριας</w:t>
      </w:r>
      <w:proofErr w:type="spellEnd"/>
      <w:r w:rsidRPr="007F3387">
        <w:rPr>
          <w:rFonts w:ascii="MyriadPro-Regular" w:hAnsi="MyriadPro-Regular" w:cs="MyriadPro-Regular"/>
          <w:sz w:val="28"/>
          <w:szCs w:val="28"/>
        </w:rPr>
        <w:t>: …………</w:t>
      </w:r>
      <w:r>
        <w:rPr>
          <w:rFonts w:ascii="MyriadPro-Regular" w:hAnsi="MyriadPro-Regular" w:cs="MyriadPro-Regular"/>
          <w:sz w:val="28"/>
          <w:szCs w:val="28"/>
        </w:rPr>
        <w:t>………</w:t>
      </w:r>
      <w:r w:rsidRPr="007F3387">
        <w:rPr>
          <w:rFonts w:ascii="MyriadPro-Regular" w:hAnsi="MyriadPro-Regular" w:cs="MyriadPro-Regular"/>
          <w:sz w:val="28"/>
          <w:szCs w:val="28"/>
        </w:rPr>
        <w:t>……………………</w:t>
      </w:r>
    </w:p>
    <w:p w:rsidR="00674318" w:rsidRPr="00674318" w:rsidRDefault="00674318" w:rsidP="007F3387">
      <w:pPr>
        <w:jc w:val="center"/>
        <w:rPr>
          <w:rFonts w:ascii="MyriadPro-Regular" w:hAnsi="MyriadPro-Regular" w:cs="MyriadPro-Regular"/>
          <w:sz w:val="24"/>
          <w:szCs w:val="24"/>
        </w:rPr>
      </w:pPr>
      <w:r w:rsidRPr="00674318">
        <w:rPr>
          <w:rFonts w:ascii="MyriadPro-Regular" w:hAnsi="MyriadPro-Regular" w:cs="MyriadPro-Regular"/>
          <w:sz w:val="24"/>
          <w:szCs w:val="24"/>
        </w:rPr>
        <w:t>(ΦΕΚ 5009, 27.10.2021, ΚΕΦ. Β’/άρθρο 8)</w:t>
      </w:r>
    </w:p>
    <w:p w:rsidR="00674318" w:rsidRDefault="00674318" w:rsidP="007F3387">
      <w:pPr>
        <w:jc w:val="center"/>
        <w:rPr>
          <w:rFonts w:ascii="MyriadPro-Regular" w:hAnsi="MyriadPro-Regular" w:cs="MyriadPro-Regular"/>
          <w:b/>
          <w:sz w:val="28"/>
          <w:szCs w:val="28"/>
        </w:rPr>
      </w:pPr>
    </w:p>
    <w:p w:rsidR="00674318" w:rsidRDefault="00674318" w:rsidP="007F3387">
      <w:pPr>
        <w:jc w:val="center"/>
        <w:rPr>
          <w:rFonts w:ascii="MyriadPro-Regular" w:hAnsi="MyriadPro-Regular" w:cs="MyriadPro-Regular"/>
          <w:b/>
          <w:sz w:val="28"/>
          <w:szCs w:val="28"/>
        </w:rPr>
      </w:pPr>
    </w:p>
    <w:p w:rsidR="007F3387" w:rsidRDefault="007F3387" w:rsidP="007F3387">
      <w:pPr>
        <w:jc w:val="center"/>
        <w:rPr>
          <w:rFonts w:ascii="MyriadPro-Regular" w:hAnsi="MyriadPro-Regular" w:cs="MyriadPro-Regular"/>
          <w:b/>
          <w:sz w:val="28"/>
          <w:szCs w:val="28"/>
        </w:rPr>
      </w:pPr>
      <w:r w:rsidRPr="007F3387">
        <w:rPr>
          <w:rFonts w:ascii="MyriadPro-Regular" w:hAnsi="MyriadPro-Regular" w:cs="MyriadPro-Regular"/>
          <w:b/>
          <w:sz w:val="28"/>
          <w:szCs w:val="28"/>
        </w:rPr>
        <w:t>ΠΕΡΙΕΧΟΜΕΝΑ</w:t>
      </w:r>
    </w:p>
    <w:tbl>
      <w:tblPr>
        <w:tblStyle w:val="a3"/>
        <w:tblW w:w="0" w:type="auto"/>
        <w:tblLook w:val="04A0"/>
      </w:tblPr>
      <w:tblGrid>
        <w:gridCol w:w="610"/>
        <w:gridCol w:w="6161"/>
        <w:gridCol w:w="1751"/>
      </w:tblGrid>
      <w:tr w:rsidR="007F3387" w:rsidRPr="009120E1" w:rsidTr="007F3387">
        <w:tc>
          <w:tcPr>
            <w:tcW w:w="578" w:type="dxa"/>
          </w:tcPr>
          <w:p w:rsidR="007F3387" w:rsidRPr="009120E1" w:rsidRDefault="007F3387" w:rsidP="007F3387">
            <w:pPr>
              <w:jc w:val="both"/>
              <w:rPr>
                <w:b/>
                <w:sz w:val="24"/>
                <w:szCs w:val="24"/>
              </w:rPr>
            </w:pPr>
            <w:r w:rsidRPr="009120E1">
              <w:rPr>
                <w:b/>
                <w:sz w:val="24"/>
                <w:szCs w:val="24"/>
              </w:rPr>
              <w:t>Α/Α</w:t>
            </w:r>
          </w:p>
        </w:tc>
        <w:tc>
          <w:tcPr>
            <w:tcW w:w="6193" w:type="dxa"/>
          </w:tcPr>
          <w:p w:rsidR="007F3387" w:rsidRPr="009120E1" w:rsidRDefault="007F3387" w:rsidP="007F3387">
            <w:pPr>
              <w:jc w:val="both"/>
              <w:rPr>
                <w:b/>
                <w:sz w:val="24"/>
                <w:szCs w:val="24"/>
              </w:rPr>
            </w:pPr>
            <w:r w:rsidRPr="009120E1">
              <w:rPr>
                <w:b/>
                <w:sz w:val="24"/>
                <w:szCs w:val="24"/>
              </w:rPr>
              <w:t>ΣΤΟΙΧΕΙΑ</w:t>
            </w:r>
          </w:p>
        </w:tc>
        <w:tc>
          <w:tcPr>
            <w:tcW w:w="1751" w:type="dxa"/>
          </w:tcPr>
          <w:p w:rsidR="007F3387" w:rsidRPr="009120E1" w:rsidRDefault="007F3387" w:rsidP="007F3387">
            <w:pPr>
              <w:jc w:val="both"/>
              <w:rPr>
                <w:b/>
                <w:sz w:val="24"/>
                <w:szCs w:val="24"/>
              </w:rPr>
            </w:pPr>
            <w:r w:rsidRPr="009120E1">
              <w:rPr>
                <w:b/>
                <w:sz w:val="24"/>
                <w:szCs w:val="24"/>
              </w:rPr>
              <w:t>ΗΜΕΡΟΜΗΝΙΑ</w:t>
            </w:r>
          </w:p>
        </w:tc>
      </w:tr>
      <w:tr w:rsidR="007F3387" w:rsidTr="007F3387">
        <w:tc>
          <w:tcPr>
            <w:tcW w:w="578" w:type="dxa"/>
          </w:tcPr>
          <w:p w:rsidR="007F3387" w:rsidRDefault="007F3387" w:rsidP="007F3387">
            <w:pPr>
              <w:jc w:val="both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6193" w:type="dxa"/>
          </w:tcPr>
          <w:p w:rsidR="007F3387" w:rsidRDefault="007F3387" w:rsidP="007F338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Αντίγραφο του πρακτικού της αρχικής ή άλλης σχετικής πρότασης του συλλόγου διδασκόντων για την υποστήριξη του μαθητή.</w:t>
            </w:r>
          </w:p>
          <w:p w:rsidR="00674318" w:rsidRPr="007F3387" w:rsidRDefault="00674318" w:rsidP="007F338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  <w:tc>
          <w:tcPr>
            <w:tcW w:w="1751" w:type="dxa"/>
          </w:tcPr>
          <w:p w:rsidR="007F3387" w:rsidRDefault="007F3387" w:rsidP="007F3387">
            <w:pPr>
              <w:jc w:val="both"/>
              <w:rPr>
                <w:b/>
              </w:rPr>
            </w:pPr>
          </w:p>
        </w:tc>
      </w:tr>
      <w:tr w:rsidR="007F3387" w:rsidTr="007F3387">
        <w:tc>
          <w:tcPr>
            <w:tcW w:w="578" w:type="dxa"/>
          </w:tcPr>
          <w:p w:rsidR="007F3387" w:rsidRDefault="007F3387" w:rsidP="007F3387">
            <w:pPr>
              <w:jc w:val="both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6193" w:type="dxa"/>
          </w:tcPr>
          <w:p w:rsidR="007F3387" w:rsidRDefault="007F3387" w:rsidP="007F338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Πρωτόκολλο Συνεργασίας και Επικοινωνίας με τους γονείς και κηδεμόνες ή και με τον ίδιο τον μαθητή, εφόσον είναι δυνατόν.</w:t>
            </w:r>
          </w:p>
          <w:p w:rsidR="00674318" w:rsidRPr="007F3387" w:rsidRDefault="00674318" w:rsidP="007F338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  <w:tc>
          <w:tcPr>
            <w:tcW w:w="1751" w:type="dxa"/>
          </w:tcPr>
          <w:p w:rsidR="007F3387" w:rsidRDefault="007F3387" w:rsidP="007F3387">
            <w:pPr>
              <w:jc w:val="both"/>
              <w:rPr>
                <w:b/>
              </w:rPr>
            </w:pPr>
          </w:p>
        </w:tc>
      </w:tr>
      <w:tr w:rsidR="007F3387" w:rsidTr="007F3387">
        <w:tc>
          <w:tcPr>
            <w:tcW w:w="578" w:type="dxa"/>
          </w:tcPr>
          <w:p w:rsidR="007F3387" w:rsidRDefault="007F3387" w:rsidP="007F3387">
            <w:pPr>
              <w:jc w:val="both"/>
              <w:rPr>
                <w:b/>
              </w:rPr>
            </w:pPr>
            <w:r>
              <w:rPr>
                <w:b/>
              </w:rPr>
              <w:t>γ</w:t>
            </w:r>
          </w:p>
        </w:tc>
        <w:tc>
          <w:tcPr>
            <w:tcW w:w="6193" w:type="dxa"/>
          </w:tcPr>
          <w:p w:rsidR="007F3387" w:rsidRDefault="007F3387" w:rsidP="007F338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Ωρολόγιο Πρόγραμμα της Ε.Δ.Υ. όπου είναι καταγεγραμμένες οι σχετικές υποστηρικτικές ενέργειες και υπηρεσίες προς το </w:t>
            </w:r>
            <w:r w:rsidR="00674318">
              <w:rPr>
                <w:rFonts w:ascii="MyriadPro-Regular" w:hAnsi="MyriadPro-Regular" w:cs="MyriadPro-Regular"/>
                <w:sz w:val="20"/>
                <w:szCs w:val="20"/>
              </w:rPr>
              <w:t>παιδί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.</w:t>
            </w:r>
          </w:p>
          <w:p w:rsidR="00674318" w:rsidRPr="007F3387" w:rsidRDefault="00674318" w:rsidP="007F338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  <w:tc>
          <w:tcPr>
            <w:tcW w:w="1751" w:type="dxa"/>
          </w:tcPr>
          <w:p w:rsidR="007F3387" w:rsidRDefault="007F3387" w:rsidP="007F3387">
            <w:pPr>
              <w:jc w:val="both"/>
              <w:rPr>
                <w:b/>
              </w:rPr>
            </w:pPr>
          </w:p>
        </w:tc>
      </w:tr>
      <w:tr w:rsidR="007F3387" w:rsidTr="007F3387">
        <w:tc>
          <w:tcPr>
            <w:tcW w:w="578" w:type="dxa"/>
          </w:tcPr>
          <w:p w:rsidR="007F3387" w:rsidRDefault="007F3387" w:rsidP="007F3387">
            <w:pPr>
              <w:jc w:val="both"/>
              <w:rPr>
                <w:b/>
              </w:rPr>
            </w:pPr>
            <w:r>
              <w:rPr>
                <w:b/>
              </w:rPr>
              <w:t>δ</w:t>
            </w:r>
          </w:p>
        </w:tc>
        <w:tc>
          <w:tcPr>
            <w:tcW w:w="6193" w:type="dxa"/>
          </w:tcPr>
          <w:p w:rsidR="007F3387" w:rsidRDefault="007F3387" w:rsidP="007F3387">
            <w:pPr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Αξιολογικό υλικό όλων των μελών της Ε.Δ.Υ.</w:t>
            </w:r>
          </w:p>
          <w:p w:rsidR="00674318" w:rsidRDefault="00674318" w:rsidP="00674318">
            <w:pPr>
              <w:pStyle w:val="a4"/>
              <w:numPr>
                <w:ilvl w:val="0"/>
                <w:numId w:val="2"/>
              </w:numPr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Κοινωνικού Λειτουργού</w:t>
            </w:r>
          </w:p>
          <w:p w:rsidR="00674318" w:rsidRDefault="00674318" w:rsidP="00674318">
            <w:pPr>
              <w:pStyle w:val="a4"/>
              <w:numPr>
                <w:ilvl w:val="0"/>
                <w:numId w:val="2"/>
              </w:numPr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Ψυχολόγου</w:t>
            </w:r>
          </w:p>
          <w:p w:rsidR="00674318" w:rsidRDefault="00674318" w:rsidP="00674318">
            <w:pPr>
              <w:pStyle w:val="a4"/>
              <w:numPr>
                <w:ilvl w:val="0"/>
                <w:numId w:val="2"/>
              </w:numPr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Εκπαιδευτικού ΕΑΕ</w:t>
            </w:r>
          </w:p>
          <w:p w:rsidR="00962336" w:rsidRPr="00674318" w:rsidRDefault="00962336" w:rsidP="00674318">
            <w:pPr>
              <w:pStyle w:val="a4"/>
              <w:numPr>
                <w:ilvl w:val="0"/>
                <w:numId w:val="2"/>
              </w:numPr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Εκπαιδευτικού Τάξης</w:t>
            </w:r>
          </w:p>
          <w:p w:rsidR="00674318" w:rsidRDefault="00674318" w:rsidP="007F3387">
            <w:pPr>
              <w:jc w:val="both"/>
              <w:rPr>
                <w:b/>
              </w:rPr>
            </w:pPr>
          </w:p>
        </w:tc>
        <w:tc>
          <w:tcPr>
            <w:tcW w:w="1751" w:type="dxa"/>
          </w:tcPr>
          <w:p w:rsidR="007F3387" w:rsidRDefault="007F3387" w:rsidP="007F3387">
            <w:pPr>
              <w:jc w:val="both"/>
              <w:rPr>
                <w:b/>
              </w:rPr>
            </w:pPr>
          </w:p>
        </w:tc>
      </w:tr>
      <w:tr w:rsidR="007F3387" w:rsidTr="007F3387">
        <w:tc>
          <w:tcPr>
            <w:tcW w:w="578" w:type="dxa"/>
          </w:tcPr>
          <w:p w:rsidR="007F3387" w:rsidRDefault="007F3387" w:rsidP="007F3387">
            <w:pPr>
              <w:jc w:val="both"/>
              <w:rPr>
                <w:b/>
              </w:rPr>
            </w:pPr>
            <w:r>
              <w:rPr>
                <w:b/>
              </w:rPr>
              <w:t>ε</w:t>
            </w:r>
          </w:p>
        </w:tc>
        <w:tc>
          <w:tcPr>
            <w:tcW w:w="6193" w:type="dxa"/>
          </w:tcPr>
          <w:p w:rsidR="007F3387" w:rsidRDefault="00674318" w:rsidP="007F3387">
            <w:pPr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Ε</w:t>
            </w:r>
            <w:r w:rsidR="007F3387">
              <w:rPr>
                <w:rFonts w:ascii="MyriadPro-Regular" w:hAnsi="MyriadPro-Regular" w:cs="MyriadPro-Regular"/>
                <w:sz w:val="20"/>
                <w:szCs w:val="20"/>
              </w:rPr>
              <w:t>κθέσεις των μελών της Ε.Δ.Υ.</w:t>
            </w:r>
          </w:p>
          <w:p w:rsidR="00962336" w:rsidRDefault="00962336" w:rsidP="00962336">
            <w:pPr>
              <w:pStyle w:val="a4"/>
              <w:numPr>
                <w:ilvl w:val="0"/>
                <w:numId w:val="2"/>
              </w:numPr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Κοινωνικού Λειτουργού</w:t>
            </w:r>
          </w:p>
          <w:p w:rsidR="00962336" w:rsidRDefault="00962336" w:rsidP="00962336">
            <w:pPr>
              <w:pStyle w:val="a4"/>
              <w:numPr>
                <w:ilvl w:val="0"/>
                <w:numId w:val="2"/>
              </w:numPr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Ψυχολόγου</w:t>
            </w:r>
          </w:p>
          <w:p w:rsidR="00962336" w:rsidRDefault="00962336" w:rsidP="00962336">
            <w:pPr>
              <w:pStyle w:val="a4"/>
              <w:numPr>
                <w:ilvl w:val="0"/>
                <w:numId w:val="2"/>
              </w:numPr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Εκπαιδευτικού ΕΑΕ</w:t>
            </w:r>
          </w:p>
          <w:p w:rsidR="00962336" w:rsidRPr="00674318" w:rsidRDefault="00962336" w:rsidP="00962336">
            <w:pPr>
              <w:pStyle w:val="a4"/>
              <w:numPr>
                <w:ilvl w:val="0"/>
                <w:numId w:val="2"/>
              </w:numPr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Εκπαιδευτικού Τάξης</w:t>
            </w:r>
          </w:p>
          <w:p w:rsidR="00674318" w:rsidRDefault="00674318" w:rsidP="007F3387">
            <w:pPr>
              <w:jc w:val="both"/>
              <w:rPr>
                <w:b/>
              </w:rPr>
            </w:pPr>
          </w:p>
        </w:tc>
        <w:tc>
          <w:tcPr>
            <w:tcW w:w="1751" w:type="dxa"/>
          </w:tcPr>
          <w:p w:rsidR="007F3387" w:rsidRDefault="007F3387" w:rsidP="007F3387">
            <w:pPr>
              <w:jc w:val="both"/>
              <w:rPr>
                <w:b/>
              </w:rPr>
            </w:pPr>
          </w:p>
        </w:tc>
      </w:tr>
      <w:tr w:rsidR="007F3387" w:rsidTr="007F3387">
        <w:tc>
          <w:tcPr>
            <w:tcW w:w="578" w:type="dxa"/>
          </w:tcPr>
          <w:p w:rsidR="007F3387" w:rsidRDefault="007F3387" w:rsidP="007F3387">
            <w:pPr>
              <w:jc w:val="both"/>
              <w:rPr>
                <w:b/>
              </w:rPr>
            </w:pPr>
            <w:r>
              <w:rPr>
                <w:b/>
              </w:rPr>
              <w:t>στ</w:t>
            </w:r>
          </w:p>
        </w:tc>
        <w:tc>
          <w:tcPr>
            <w:tcW w:w="6193" w:type="dxa"/>
          </w:tcPr>
          <w:p w:rsidR="007F3387" w:rsidRDefault="00674318" w:rsidP="007F3387">
            <w:pPr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Ε</w:t>
            </w:r>
            <w:r w:rsidR="007F3387">
              <w:rPr>
                <w:rFonts w:ascii="MyriadPro-Regular" w:hAnsi="MyriadPro-Regular" w:cs="MyriadPro-Regular"/>
                <w:sz w:val="20"/>
                <w:szCs w:val="20"/>
              </w:rPr>
              <w:t xml:space="preserve">ξατομικευμένο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Π</w:t>
            </w:r>
            <w:r w:rsidR="007F3387">
              <w:rPr>
                <w:rFonts w:ascii="MyriadPro-Regular" w:hAnsi="MyriadPro-Regular" w:cs="MyriadPro-Regular"/>
                <w:sz w:val="20"/>
                <w:szCs w:val="20"/>
              </w:rPr>
              <w:t xml:space="preserve">ρόγραμμα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Ε</w:t>
            </w:r>
            <w:r w:rsidR="007F3387">
              <w:rPr>
                <w:rFonts w:ascii="MyriadPro-Regular" w:hAnsi="MyriadPro-Regular" w:cs="MyriadPro-Regular"/>
                <w:sz w:val="20"/>
                <w:szCs w:val="20"/>
              </w:rPr>
              <w:t>κπαίδευσης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(Ε.Π.Ε.)</w:t>
            </w:r>
            <w:r w:rsidR="007F3387">
              <w:rPr>
                <w:rFonts w:ascii="MyriadPro-Regular" w:hAnsi="MyriadPro-Regular" w:cs="MyriadPro-Regular"/>
                <w:sz w:val="20"/>
                <w:szCs w:val="20"/>
              </w:rPr>
              <w:t xml:space="preserve"> με τις πιθανές τροποποιήσεις</w:t>
            </w:r>
          </w:p>
          <w:p w:rsidR="00674318" w:rsidRDefault="00674318" w:rsidP="007F3387">
            <w:pPr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  <w:tc>
          <w:tcPr>
            <w:tcW w:w="1751" w:type="dxa"/>
          </w:tcPr>
          <w:p w:rsidR="007F3387" w:rsidRDefault="007F3387" w:rsidP="007F3387">
            <w:pPr>
              <w:jc w:val="both"/>
              <w:rPr>
                <w:b/>
              </w:rPr>
            </w:pPr>
          </w:p>
        </w:tc>
      </w:tr>
      <w:tr w:rsidR="007F3387" w:rsidTr="007F3387">
        <w:tc>
          <w:tcPr>
            <w:tcW w:w="578" w:type="dxa"/>
          </w:tcPr>
          <w:p w:rsidR="007F3387" w:rsidRDefault="007F3387" w:rsidP="007F3387">
            <w:pPr>
              <w:jc w:val="both"/>
              <w:rPr>
                <w:b/>
              </w:rPr>
            </w:pPr>
            <w:r>
              <w:rPr>
                <w:b/>
              </w:rPr>
              <w:t>ζ</w:t>
            </w:r>
          </w:p>
        </w:tc>
        <w:tc>
          <w:tcPr>
            <w:tcW w:w="6193" w:type="dxa"/>
          </w:tcPr>
          <w:p w:rsidR="00674318" w:rsidRDefault="00674318" w:rsidP="007F338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Ε</w:t>
            </w:r>
            <w:r w:rsidR="007F3387">
              <w:rPr>
                <w:rFonts w:ascii="MyriadPro-Regular" w:hAnsi="MyriadPro-Regular" w:cs="MyriadPro-Regular"/>
                <w:sz w:val="20"/>
                <w:szCs w:val="20"/>
              </w:rPr>
              <w:t>ισηγητική έκθεση για την παραπομπή του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παιδιού</w:t>
            </w:r>
            <w:r w:rsidR="007F3387">
              <w:rPr>
                <w:rFonts w:ascii="MyriadPro-Regular" w:hAnsi="MyriadPro-Regular" w:cs="MyriadPro-Regular"/>
                <w:sz w:val="20"/>
                <w:szCs w:val="20"/>
              </w:rPr>
              <w:t xml:space="preserve"> στο ΚΕ.Δ.Α.Σ.Υ., εφόσον κρίνεται απαραίτητο,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 με </w:t>
            </w:r>
            <w:r w:rsidR="007F3387">
              <w:rPr>
                <w:rFonts w:ascii="MyriadPro-Regular" w:hAnsi="MyriadPro-Regular" w:cs="MyriadPro-Regular"/>
                <w:sz w:val="20"/>
                <w:szCs w:val="20"/>
              </w:rPr>
              <w:t xml:space="preserve">αντίγραφα </w:t>
            </w:r>
          </w:p>
          <w:p w:rsidR="00674318" w:rsidRPr="001E269E" w:rsidRDefault="007F3387" w:rsidP="001E269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 w:rsidRPr="00674318">
              <w:rPr>
                <w:rFonts w:ascii="MyriadPro-Regular" w:hAnsi="MyriadPro-Regular" w:cs="MyriadPro-Regular"/>
                <w:sz w:val="20"/>
                <w:szCs w:val="20"/>
              </w:rPr>
              <w:t xml:space="preserve">της τεκμηριωμένης εισήγησης του συλλόγου των διδασκόντων, </w:t>
            </w:r>
            <w:r w:rsidR="001E269E">
              <w:rPr>
                <w:rFonts w:ascii="MyriadPro-Regular" w:hAnsi="MyriadPro-Regular" w:cs="MyriadPro-Regular"/>
                <w:sz w:val="20"/>
                <w:szCs w:val="20"/>
              </w:rPr>
              <w:t>με τη</w:t>
            </w:r>
            <w:r w:rsidR="00674318" w:rsidRPr="001E269E">
              <w:rPr>
                <w:rFonts w:ascii="MyriadPro-Regular" w:hAnsi="MyriadPro-Regular" w:cs="MyriadPro-Regular"/>
                <w:sz w:val="20"/>
                <w:szCs w:val="20"/>
              </w:rPr>
              <w:t xml:space="preserve"> </w:t>
            </w:r>
            <w:r w:rsidR="001E269E">
              <w:rPr>
                <w:rFonts w:ascii="MyriadPro-Regular" w:hAnsi="MyriadPro-Regular" w:cs="MyriadPro-Regular"/>
                <w:sz w:val="20"/>
                <w:szCs w:val="20"/>
              </w:rPr>
              <w:t>βεβαίωση</w:t>
            </w:r>
            <w:r w:rsidRPr="001E269E">
              <w:rPr>
                <w:rFonts w:ascii="MyriadPro-Regular" w:hAnsi="MyriadPro-Regular" w:cs="MyriadPro-Regular"/>
                <w:sz w:val="20"/>
                <w:szCs w:val="20"/>
              </w:rPr>
              <w:t xml:space="preserve"> ότι έγιναν όλες οι αναγκαίες υποστηρικτικές</w:t>
            </w:r>
            <w:r w:rsidR="00674318" w:rsidRPr="001E269E">
              <w:rPr>
                <w:rFonts w:ascii="MyriadPro-Regular" w:hAnsi="MyriadPro-Regular" w:cs="MyriadPro-Regular"/>
                <w:sz w:val="20"/>
                <w:szCs w:val="20"/>
              </w:rPr>
              <w:t xml:space="preserve"> </w:t>
            </w:r>
            <w:r w:rsidRPr="001E269E">
              <w:rPr>
                <w:rFonts w:ascii="MyriadPro-Regular" w:hAnsi="MyriadPro-Regular" w:cs="MyriadPro-Regular"/>
                <w:sz w:val="20"/>
                <w:szCs w:val="20"/>
              </w:rPr>
              <w:t>παρεμβάσεις από τη σχολική μονάδα του μαθητή και την</w:t>
            </w:r>
            <w:r w:rsidR="00674318" w:rsidRPr="001E269E">
              <w:rPr>
                <w:rFonts w:ascii="MyriadPro-Regular" w:hAnsi="MyriadPro-Regular" w:cs="MyriadPro-Regular"/>
                <w:sz w:val="20"/>
                <w:szCs w:val="20"/>
              </w:rPr>
              <w:t xml:space="preserve"> </w:t>
            </w:r>
            <w:r w:rsidRPr="001E269E">
              <w:rPr>
                <w:rFonts w:ascii="MyriadPro-Regular" w:hAnsi="MyriadPro-Regular" w:cs="MyriadPro-Regular"/>
                <w:sz w:val="20"/>
                <w:szCs w:val="20"/>
              </w:rPr>
              <w:t xml:space="preserve">Ε.Δ.Υ. σε συνεργασία </w:t>
            </w:r>
            <w:r w:rsidR="00674318" w:rsidRPr="001E269E">
              <w:rPr>
                <w:rFonts w:ascii="MyriadPro-Regular" w:hAnsi="MyriadPro-Regular" w:cs="MyriadPro-Regular"/>
                <w:sz w:val="20"/>
                <w:szCs w:val="20"/>
              </w:rPr>
              <w:t xml:space="preserve">με τους γονείς ή κηδεμόνες </w:t>
            </w:r>
            <w:r w:rsidRPr="001E269E">
              <w:rPr>
                <w:rFonts w:ascii="MyriadPro-Regular" w:hAnsi="MyriadPro-Regular" w:cs="MyriadPro-Regular"/>
                <w:sz w:val="20"/>
                <w:szCs w:val="20"/>
              </w:rPr>
              <w:t>και</w:t>
            </w:r>
          </w:p>
          <w:p w:rsidR="007F3387" w:rsidRPr="00674318" w:rsidRDefault="007F3387" w:rsidP="0067431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 w:rsidRPr="00674318">
              <w:rPr>
                <w:rFonts w:ascii="MyriadPro-Regular" w:hAnsi="MyriadPro-Regular" w:cs="MyriadPro-Regular"/>
                <w:sz w:val="20"/>
                <w:szCs w:val="20"/>
              </w:rPr>
              <w:t>της δήλωσης συναίνεσης των γονέων ή κηδεμόνων</w:t>
            </w:r>
          </w:p>
          <w:p w:rsidR="007F3387" w:rsidRDefault="007F3387" w:rsidP="00674318">
            <w:pPr>
              <w:autoSpaceDE w:val="0"/>
              <w:autoSpaceDN w:val="0"/>
              <w:adjustRightInd w:val="0"/>
              <w:ind w:left="72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για την περαιτέρω αξιολόγηση και την έκδοση σχετικής</w:t>
            </w:r>
          </w:p>
          <w:p w:rsidR="007F3387" w:rsidRDefault="007F3387" w:rsidP="00674318">
            <w:pPr>
              <w:ind w:left="720"/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>αξιολογικής έκθεσης από το ΚΕ.Δ.Α.Σ.Υ..</w:t>
            </w:r>
          </w:p>
          <w:p w:rsidR="00674318" w:rsidRDefault="00674318" w:rsidP="00674318">
            <w:pPr>
              <w:ind w:left="720"/>
              <w:jc w:val="both"/>
              <w:rPr>
                <w:rFonts w:ascii="MyriadPro-Regular" w:hAnsi="MyriadPro-Regular" w:cs="MyriadPro-Regular"/>
                <w:sz w:val="20"/>
                <w:szCs w:val="20"/>
              </w:rPr>
            </w:pPr>
          </w:p>
        </w:tc>
        <w:tc>
          <w:tcPr>
            <w:tcW w:w="1751" w:type="dxa"/>
          </w:tcPr>
          <w:p w:rsidR="007F3387" w:rsidRDefault="007F3387" w:rsidP="007F3387">
            <w:pPr>
              <w:jc w:val="both"/>
              <w:rPr>
                <w:b/>
              </w:rPr>
            </w:pPr>
          </w:p>
        </w:tc>
      </w:tr>
      <w:tr w:rsidR="007F3387" w:rsidTr="007F3387">
        <w:tc>
          <w:tcPr>
            <w:tcW w:w="578" w:type="dxa"/>
          </w:tcPr>
          <w:p w:rsidR="007F3387" w:rsidRDefault="007F3387" w:rsidP="007F3387">
            <w:pPr>
              <w:jc w:val="both"/>
              <w:rPr>
                <w:b/>
              </w:rPr>
            </w:pPr>
            <w:r>
              <w:rPr>
                <w:b/>
              </w:rPr>
              <w:t>η</w:t>
            </w:r>
          </w:p>
        </w:tc>
        <w:tc>
          <w:tcPr>
            <w:tcW w:w="6193" w:type="dxa"/>
          </w:tcPr>
          <w:p w:rsidR="007F3387" w:rsidRDefault="007F3387" w:rsidP="007F338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0"/>
                <w:szCs w:val="20"/>
              </w:rPr>
            </w:pPr>
            <w:r>
              <w:rPr>
                <w:rFonts w:ascii="MyriadPro-Regular" w:hAnsi="MyriadPro-Regular" w:cs="MyriadPro-Regular"/>
                <w:sz w:val="20"/>
                <w:szCs w:val="20"/>
              </w:rPr>
              <w:t xml:space="preserve">Την αξιολογική έκθεση από το ΚΕ.Δ.Α.Σ.Υ. ή τις γνωματεύσεις - διαγνώσεις που προσκομίστηκαν από </w:t>
            </w:r>
            <w:r w:rsidR="00674318">
              <w:rPr>
                <w:rFonts w:ascii="MyriadPro-Regular" w:hAnsi="MyriadPro-Regular" w:cs="MyriadPro-Regular"/>
                <w:sz w:val="20"/>
                <w:szCs w:val="20"/>
              </w:rPr>
              <w:t xml:space="preserve">τους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γονείς ή κηδεμόνες του μαθητή από άλλους φορείς</w:t>
            </w:r>
            <w:r w:rsidR="00674318">
              <w:rPr>
                <w:rFonts w:ascii="MyriadPro-Regular" w:hAnsi="MyriadPro-Regular" w:cs="MyriadPro-Regular"/>
                <w:sz w:val="20"/>
                <w:szCs w:val="20"/>
              </w:rPr>
              <w:t xml:space="preserve">, </w:t>
            </w:r>
            <w:r>
              <w:rPr>
                <w:rFonts w:ascii="MyriadPro-Regular" w:hAnsi="MyriadPro-Regular" w:cs="MyriadPro-Regular"/>
                <w:sz w:val="20"/>
                <w:szCs w:val="20"/>
              </w:rPr>
              <w:t>εφόσον υπάρχουν.</w:t>
            </w:r>
          </w:p>
        </w:tc>
        <w:tc>
          <w:tcPr>
            <w:tcW w:w="1751" w:type="dxa"/>
          </w:tcPr>
          <w:p w:rsidR="007F3387" w:rsidRDefault="007F3387" w:rsidP="007F3387">
            <w:pPr>
              <w:jc w:val="both"/>
              <w:rPr>
                <w:b/>
              </w:rPr>
            </w:pPr>
          </w:p>
        </w:tc>
      </w:tr>
    </w:tbl>
    <w:p w:rsidR="007F3387" w:rsidRDefault="007F3387" w:rsidP="007F3387">
      <w:pPr>
        <w:jc w:val="both"/>
        <w:rPr>
          <w:b/>
        </w:rPr>
      </w:pPr>
    </w:p>
    <w:p w:rsidR="00674318" w:rsidRPr="007F3387" w:rsidRDefault="00674318" w:rsidP="00674318">
      <w:pPr>
        <w:jc w:val="center"/>
        <w:rPr>
          <w:b/>
        </w:rPr>
      </w:pPr>
      <w:r>
        <w:rPr>
          <w:b/>
        </w:rPr>
        <w:t>Ο/Η Πρόεδρος της Ε.Δ.Υ.</w:t>
      </w:r>
    </w:p>
    <w:sectPr w:rsidR="00674318" w:rsidRPr="007F3387" w:rsidSect="00E802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4341"/>
    <w:multiLevelType w:val="hybridMultilevel"/>
    <w:tmpl w:val="C1F8DD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B528F"/>
    <w:multiLevelType w:val="hybridMultilevel"/>
    <w:tmpl w:val="2084C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3387"/>
    <w:rsid w:val="001E269E"/>
    <w:rsid w:val="00674318"/>
    <w:rsid w:val="007F3387"/>
    <w:rsid w:val="009120E1"/>
    <w:rsid w:val="00962336"/>
    <w:rsid w:val="009E3465"/>
    <w:rsid w:val="00B0448B"/>
    <w:rsid w:val="00DD2BAD"/>
    <w:rsid w:val="00E8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2021-11-04T10:25:00Z</cp:lastPrinted>
  <dcterms:created xsi:type="dcterms:W3CDTF">2021-11-04T10:04:00Z</dcterms:created>
  <dcterms:modified xsi:type="dcterms:W3CDTF">2021-11-04T10:39:00Z</dcterms:modified>
</cp:coreProperties>
</file>